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77" w:rsidRDefault="00244177" w:rsidP="0032779B">
      <w:pPr>
        <w:spacing w:after="0"/>
        <w:ind w:firstLine="709"/>
        <w:jc w:val="center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Предлагаем</w:t>
      </w:r>
      <w:r w:rsidR="0032779B">
        <w:rPr>
          <w:rFonts w:asciiTheme="majorHAnsi" w:hAnsiTheme="majorHAnsi"/>
          <w:bCs/>
          <w:sz w:val="28"/>
          <w:szCs w:val="28"/>
        </w:rPr>
        <w:t xml:space="preserve"> </w:t>
      </w:r>
      <w:r w:rsidRPr="0053134C">
        <w:rPr>
          <w:rFonts w:asciiTheme="majorHAnsi" w:hAnsiTheme="majorHAnsi"/>
          <w:bCs/>
          <w:sz w:val="28"/>
          <w:szCs w:val="28"/>
        </w:rPr>
        <w:t>вашему вниманию библиографический обзор на тему:</w:t>
      </w:r>
    </w:p>
    <w:p w:rsidR="00244177" w:rsidRDefault="00244177" w:rsidP="0032779B">
      <w:pPr>
        <w:spacing w:after="0"/>
        <w:ind w:firstLine="709"/>
        <w:jc w:val="center"/>
        <w:rPr>
          <w:rFonts w:asciiTheme="majorHAnsi" w:hAnsiTheme="majorHAnsi"/>
          <w:bCs/>
          <w:sz w:val="28"/>
          <w:szCs w:val="28"/>
        </w:rPr>
      </w:pPr>
    </w:p>
    <w:p w:rsidR="00244177" w:rsidRPr="00C354E4" w:rsidRDefault="00463EA2" w:rsidP="0032779B">
      <w:pPr>
        <w:spacing w:after="0"/>
        <w:ind w:firstLine="709"/>
        <w:jc w:val="center"/>
        <w:rPr>
          <w:rFonts w:asciiTheme="majorHAnsi" w:hAnsiTheme="majorHAnsi"/>
          <w:bCs/>
          <w:sz w:val="40"/>
          <w:szCs w:val="40"/>
        </w:rPr>
      </w:pPr>
      <w:r w:rsidRPr="00C354E4">
        <w:rPr>
          <w:rFonts w:asciiTheme="majorHAnsi" w:hAnsiTheme="majorHAnsi"/>
          <w:b/>
          <w:bCs/>
          <w:iCs/>
          <w:sz w:val="40"/>
          <w:szCs w:val="40"/>
        </w:rPr>
        <w:t>«</w:t>
      </w:r>
      <w:r w:rsidR="00244177" w:rsidRPr="00C354E4">
        <w:rPr>
          <w:rFonts w:asciiTheme="majorHAnsi" w:hAnsiTheme="majorHAnsi"/>
          <w:b/>
          <w:bCs/>
          <w:iCs/>
          <w:sz w:val="40"/>
          <w:szCs w:val="40"/>
        </w:rPr>
        <w:t>Искусство постановки диагноза</w:t>
      </w:r>
      <w:r w:rsidRPr="00C354E4">
        <w:rPr>
          <w:rFonts w:asciiTheme="majorHAnsi" w:hAnsiTheme="majorHAnsi"/>
          <w:b/>
          <w:bCs/>
          <w:iCs/>
          <w:sz w:val="40"/>
          <w:szCs w:val="40"/>
        </w:rPr>
        <w:t>»</w:t>
      </w:r>
    </w:p>
    <w:p w:rsidR="00244177" w:rsidRDefault="00244177" w:rsidP="0032779B">
      <w:pPr>
        <w:spacing w:after="0"/>
        <w:ind w:firstLine="709"/>
        <w:jc w:val="center"/>
        <w:rPr>
          <w:rFonts w:asciiTheme="majorHAnsi" w:hAnsiTheme="majorHAnsi"/>
          <w:bCs/>
          <w:sz w:val="28"/>
          <w:szCs w:val="28"/>
        </w:rPr>
      </w:pPr>
    </w:p>
    <w:p w:rsidR="00463EA2" w:rsidRPr="00463EA2" w:rsidRDefault="00463EA2" w:rsidP="0032779B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3EA2">
        <w:rPr>
          <w:rFonts w:ascii="Times New Roman" w:hAnsi="Times New Roman" w:cs="Times New Roman"/>
          <w:bCs/>
          <w:i/>
          <w:iCs/>
          <w:sz w:val="28"/>
          <w:szCs w:val="28"/>
        </w:rPr>
        <w:t>«Диагноз может быть экономичным: хорош только тот диагноз, который получает максимум сведений при минимуме исследований»</w:t>
      </w:r>
    </w:p>
    <w:p w:rsidR="00463EA2" w:rsidRPr="00463EA2" w:rsidRDefault="0032779B" w:rsidP="0032779B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63EA2" w:rsidRPr="00463EA2">
        <w:rPr>
          <w:rFonts w:ascii="Times New Roman" w:hAnsi="Times New Roman" w:cs="Times New Roman"/>
          <w:bCs/>
          <w:i/>
          <w:iCs/>
          <w:sz w:val="28"/>
          <w:szCs w:val="28"/>
        </w:rPr>
        <w:t>С.А. Рейнберг</w:t>
      </w:r>
    </w:p>
    <w:p w:rsidR="00C354E4" w:rsidRDefault="00463EA2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54E4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412486" cy="3311818"/>
            <wp:effectExtent l="19050" t="0" r="7364" b="0"/>
            <wp:docPr id="11" name="Рисунок 2" descr="C:\Documents and Settings\User.AUST\Рабочий стол\Бордюгова\sovremennie-technologii-v-u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AUST\Рабочий стол\Бордюгова\sovremennie-technologii-v-uz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48" cy="331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E4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54E4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4177" w:rsidRDefault="0032779B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4177" w:rsidRPr="00244177">
        <w:rPr>
          <w:rFonts w:ascii="Times New Roman" w:hAnsi="Times New Roman" w:cs="Times New Roman"/>
          <w:bCs/>
          <w:iCs/>
          <w:sz w:val="28"/>
          <w:szCs w:val="28"/>
        </w:rPr>
        <w:t>Диагностика в медицине – искусство распознавания болезней – остается по сей день труднейшей областью медицины. Правильно установленный диагноз болезни позволяет назначить единственно правильное лечение. Своевременно установленный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4177" w:rsidRPr="00244177">
        <w:rPr>
          <w:rFonts w:ascii="Times New Roman" w:hAnsi="Times New Roman" w:cs="Times New Roman"/>
          <w:bCs/>
          <w:iCs/>
          <w:sz w:val="28"/>
          <w:szCs w:val="28"/>
        </w:rPr>
        <w:t xml:space="preserve">диагноз предопределяет эффективность лечения. Диагноз, установленный на ранних стадиях течения заболевания, во многом прогнозирует благоприятное течение и исход болезни. </w:t>
      </w:r>
    </w:p>
    <w:p w:rsidR="00C354E4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54E4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354E4" w:rsidRPr="00244177" w:rsidRDefault="00C354E4" w:rsidP="0032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177" w:rsidRDefault="00244177" w:rsidP="0032779B">
      <w:pPr>
        <w:spacing w:after="0"/>
        <w:ind w:firstLine="709"/>
      </w:pPr>
    </w:p>
    <w:p w:rsidR="00BD1981" w:rsidRPr="00BD1981" w:rsidRDefault="004D6C60" w:rsidP="0032779B">
      <w:pPr>
        <w:spacing w:after="0"/>
        <w:ind w:firstLine="709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9pt;margin-top:.05pt;width:382.25pt;height:168.65pt;z-index:251659264" stroked="f">
            <v:textbox>
              <w:txbxContent>
                <w:p w:rsidR="0032779B" w:rsidRDefault="00BD1981" w:rsidP="008C4A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Х 849</w:t>
                  </w:r>
                </w:p>
                <w:p w:rsidR="00BD1981" w:rsidRDefault="00BD1981" w:rsidP="0032779B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Хостен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Н. Компьютерная томография головы и позвоночника / Н. Хостен</w:t>
                  </w:r>
                  <w:bookmarkStart w:id="0" w:name="_GoBack"/>
                  <w:bookmarkEnd w:id="0"/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 Т. Либиг : пер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евод</w:t>
                  </w: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 нем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ецкого</w:t>
                  </w: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под ред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акцией</w:t>
                  </w: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Ш.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Ш. Шотемора. – Москва : МЕДпресс-информ, 2013. – 576 с. : ил. </w:t>
                  </w:r>
                </w:p>
                <w:p w:rsidR="00BD1981" w:rsidRDefault="00BD1981" w:rsidP="008C4A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981" w:rsidRPr="00BD1981" w:rsidRDefault="0032779B" w:rsidP="0032779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BD1981" w:rsidRPr="00BD198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В издании рассматриваются возможности применения КТ для диагностики заболеваний головы и позвоночника. Отражены нововведения последних лет, включая использование многослойной КТ, благодаря чему возросла точность распознавания патологических изменений ЦНС. </w:t>
                  </w:r>
                </w:p>
              </w:txbxContent>
            </v:textbox>
          </v:shape>
        </w:pict>
      </w:r>
      <w:r w:rsidR="00DB3315" w:rsidRPr="00DB33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604" cy="2036269"/>
            <wp:effectExtent l="19050" t="0" r="0" b="0"/>
            <wp:docPr id="4" name="Рисунок 4" descr="C:\Documents and Settings\Пользователь\Мои документы\комптомог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Пользователь\Мои документы\комптомог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078" r="27446" b="15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04" cy="20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81" w:rsidRPr="00BD1981" w:rsidRDefault="004D6C6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39.75pt;margin-top:8.45pt;width:386.4pt;height:183.25pt;z-index:251661312" stroked="f">
            <v:textbox>
              <w:txbxContent>
                <w:p w:rsidR="0032779B" w:rsidRDefault="00AB04F0" w:rsidP="0032779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М478</w:t>
                  </w:r>
                </w:p>
                <w:p w:rsidR="00AB04F0" w:rsidRDefault="00AB04F0" w:rsidP="0032779B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Меллер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Т.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Б. Норма при КТ- и МРТ- исследованиях / Т.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Б. Меллер, Э. Райф : перевод 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 англ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ийского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под ред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акцией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Г.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Е. Труфанова. – Москва : МЕДпресс-информ, 2013. – 256 с. : ил.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82702C" w:rsidRPr="00AB04F0" w:rsidRDefault="0082702C" w:rsidP="0032779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4F0" w:rsidRDefault="0032779B" w:rsidP="0032779B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AB04F0" w:rsidRPr="00AB04F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Помочь врачу – специалисту, составляющему заключение на основании анализа изображений, при КТ- и МРТ- исследованиях, - основная задача этой книги. Широкое использование в клинической практике компьютерной и магнитно-резонансной томографии, выдвигает на первый план проблему границ между нормой и патологией. </w:t>
                  </w:r>
                </w:p>
              </w:txbxContent>
            </v:textbox>
          </v:shape>
        </w:pict>
      </w:r>
      <w:r w:rsidR="00327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C4A12" w:rsidRDefault="00AB04F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04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604" cy="1967113"/>
            <wp:effectExtent l="19050" t="0" r="0" b="0"/>
            <wp:docPr id="5" name="Рисунок 5" descr="C:\Documents and Settings\Пользователь\Мои документы\норма при кт и мр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Пользователь\Мои документы\норма при кт и м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86" cy="19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12" w:rsidRDefault="008C4A12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3315" w:rsidRDefault="00046607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140.9pt;margin-top:4.05pt;width:382.25pt;height:212.4pt;z-index:251662336" stroked="f">
            <v:textbox>
              <w:txbxContent>
                <w:p w:rsidR="0032779B" w:rsidRDefault="008C4A12" w:rsidP="0032779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Ш 733</w:t>
                  </w:r>
                </w:p>
                <w:p w:rsidR="008C4A12" w:rsidRDefault="008C4A12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Шмидт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Г. Дифференциальная диагностика при ультразвуковых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исследованиях / Г. Шмидт : перевод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 англ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ийского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под ред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акцией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В.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А. Сандрикова. – Москва : МЕДпресс-информ, 2014. – 816 с. : ил. </w:t>
                  </w:r>
                </w:p>
                <w:p w:rsidR="0082702C" w:rsidRPr="009D5D97" w:rsidRDefault="0082702C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9D5D97" w:rsidRPr="009D5D97" w:rsidRDefault="0032779B" w:rsidP="009D5D97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9D5D97"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Книга является исчерпывающим руководством по дифференциальной диагностике при УЗИ с четкой структурированностью материала и обилием иллюстраций, благодаря чему претендует на роль настольной книги для врачей многих специальностей. Практически все главные положения, представленные в руководстве, вынесены в цветные текстовые блоки, повторяющие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9D5D97"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основные принципы диагностики заболеваний. В случаях, когда необходимо проведение допплерографии, дополнены цветными допплерограммами. </w:t>
                  </w:r>
                </w:p>
                <w:p w:rsidR="009D5D97" w:rsidRPr="009D5D97" w:rsidRDefault="009D5D97" w:rsidP="008C4A12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8C4A12" w:rsidRPr="009D5D97" w:rsidRDefault="008C4A12" w:rsidP="008C4A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4A12" w:rsidRPr="009D5D97" w:rsidRDefault="008C4A1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C5815" w:rsidRDefault="0082702C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4A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0933F" wp14:editId="78EDC115">
            <wp:extent cx="1302604" cy="1974796"/>
            <wp:effectExtent l="19050" t="0" r="0" b="0"/>
            <wp:docPr id="6" name="Рисунок 6" descr="C:\Documents and Settings\Пользователь\Мои документы\дифуз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Мои документы\дифуз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43" cy="19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9B" w:rsidRDefault="0032779B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2779B" w:rsidRDefault="0032779B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2779B" w:rsidRDefault="004D6C6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139.75pt;margin-top:9.9pt;width:383.4pt;height:169.95pt;z-index:251663360" stroked="f">
            <v:textbox>
              <w:txbxContent>
                <w:p w:rsidR="0032779B" w:rsidRDefault="009D5D97" w:rsidP="0032779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Ш 733</w:t>
                  </w:r>
                </w:p>
                <w:p w:rsidR="009D5D97" w:rsidRDefault="009D5D97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Шмидт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Г. Ультразвуковая диагностика. Практическое руковод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ство / Г. Шмидт : перевод с английского под редакцией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А.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В. Зубарева. - Москва : МЕДпресс-информ, 2014. – 560 с. : ил. </w:t>
                  </w:r>
                </w:p>
                <w:p w:rsidR="0082702C" w:rsidRPr="00601D3B" w:rsidRDefault="0082702C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D97" w:rsidRPr="009D5D97" w:rsidRDefault="0032779B" w:rsidP="00601D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9D5D97"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Руководство представляет собой собрание ультразвуковых изображений, выполненных в В-режиме, и допплеровских изображений, снабженных описаниями и комментариями. Также представлен ряд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9D5D97" w:rsidRPr="009D5D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примеров применения ультразвукового исследования с усилением контрастности. </w:t>
                  </w:r>
                </w:p>
                <w:p w:rsidR="009D5D97" w:rsidRPr="009D5D97" w:rsidRDefault="009D5D97" w:rsidP="00601D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5D97" w:rsidRDefault="009D5D97"/>
              </w:txbxContent>
            </v:textbox>
          </v:shape>
        </w:pict>
      </w:r>
    </w:p>
    <w:p w:rsidR="00601D3B" w:rsidRDefault="009D5D97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5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604" cy="1913325"/>
            <wp:effectExtent l="19050" t="0" r="0" b="0"/>
            <wp:docPr id="7" name="Рисунок 7" descr="C:\Documents and Settings\Пользователь\Мои документы\узи шмид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Documents and Settings\Пользователь\Мои документы\узи шмидт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6" cy="19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3B" w:rsidRDefault="00601D3B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16A3B" w:rsidRDefault="004D6C6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140.9pt;margin-top:-3.7pt;width:378.05pt;height:165.3pt;z-index:251664384" stroked="f">
            <v:textbox>
              <w:txbxContent>
                <w:p w:rsidR="0082702C" w:rsidRDefault="00601D3B" w:rsidP="00827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Б 701</w:t>
                  </w:r>
                </w:p>
                <w:p w:rsidR="00601D3B" w:rsidRDefault="00601D3B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Блок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,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Б. УЗИ внутренних органов / Б. Блок :</w:t>
                  </w:r>
                  <w:r w:rsidR="003277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пер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евод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 нем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ецкого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под ред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акцией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А.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В. Зубарева. – Москва : МЕДпресс-информ, 2011. – 256 с. : ил. </w:t>
                  </w:r>
                </w:p>
                <w:p w:rsidR="0082702C" w:rsidRPr="00601D3B" w:rsidRDefault="0082702C" w:rsidP="00827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1D3B" w:rsidRPr="00601D3B" w:rsidRDefault="0032779B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601D3B" w:rsidRPr="00601D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Предлагаемое руководство, адресованное врачам, осуществляющим УЗИ-диагностику, содержит четкие рекомендации поэтапного освоения ультразвуковой диагностики; ультразвуковой анатомический атлас; поэтапные анатомические картины, соответствующие ультразвуковым сечениям (анатомические срезы). </w:t>
                  </w:r>
                </w:p>
                <w:p w:rsidR="00601D3B" w:rsidRPr="00601D3B" w:rsidRDefault="00601D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01D3B" w:rsidRPr="00601D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604" cy="1944060"/>
            <wp:effectExtent l="19050" t="0" r="0" b="0"/>
            <wp:docPr id="8" name="Рисунок 8" descr="C:\Documents and Settings\Пользователь\Мои документы\бл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Пользователь\Мои документы\бл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04" cy="1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3B" w:rsidRDefault="004D6C6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40.9pt;margin-top:9.35pt;width:366.55pt;height:164.55pt;z-index:251665408" stroked="f">
            <v:textbox>
              <w:txbxContent>
                <w:p w:rsidR="0082702C" w:rsidRDefault="00E16A3B" w:rsidP="00827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A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616-07 Р 851</w:t>
                  </w:r>
                </w:p>
                <w:p w:rsidR="00E16A3B" w:rsidRDefault="00E16A3B" w:rsidP="0082702C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E16A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Руководство по амбулаторно-поликлинической инструментальной диагностике / под ред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акцией</w:t>
                  </w:r>
                  <w:r w:rsidRPr="00E16A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С.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E16A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К. Тернового. – Москва : ГЭОТАР-Медиа, 2008. – 752 с. </w:t>
                  </w:r>
                </w:p>
                <w:p w:rsidR="0082702C" w:rsidRDefault="0082702C" w:rsidP="0082702C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E16A3B" w:rsidRPr="00E16A3B" w:rsidRDefault="0032779B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E16A3B" w:rsidRPr="00E16A3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Руководство содержит современную и актуальную информацию о различных методах диагностики, включая рентгенологию, ультразвуковую диагностику, эндоскопию и электрокардиографию. Отдельные главы посвящены диагностике заболеваний молочной железы, а также врожденных пороков сердца и заболеваний легких.</w:t>
                  </w:r>
                </w:p>
                <w:p w:rsidR="00E16A3B" w:rsidRDefault="00E16A3B" w:rsidP="00E16A3B">
                  <w:pPr>
                    <w:jc w:val="both"/>
                  </w:pPr>
                </w:p>
              </w:txbxContent>
            </v:textbox>
          </v:shape>
        </w:pict>
      </w:r>
    </w:p>
    <w:p w:rsidR="00D119A2" w:rsidRDefault="0082702C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41533" wp14:editId="30FE1DB8">
            <wp:extent cx="1302604" cy="1959429"/>
            <wp:effectExtent l="19050" t="0" r="0" b="0"/>
            <wp:docPr id="9" name="Рисунок 9" descr="C:\Documents and Settings\Пользователь\Мои документы\инстр диаг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Пользователь\Мои документы\инстр диаг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02" r="1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04" cy="19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A2" w:rsidRDefault="00D119A2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19A2" w:rsidRDefault="004D6C60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40.9pt;margin-top:2.5pt;width:378.05pt;height:160.45pt;z-index:251666432" stroked="f">
            <v:textbox>
              <w:txbxContent>
                <w:p w:rsidR="0082702C" w:rsidRDefault="00D119A2" w:rsidP="00827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616.3(035) И 243</w:t>
                  </w:r>
                </w:p>
                <w:p w:rsidR="00D119A2" w:rsidRDefault="00D119A2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Справочник по инструментальным исследованиям и вмешательствам в гастроэнтерологии / В.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Т. Ивашкин, И.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В. Маев, А.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С. Трухманов. – Москва : ГЭОТАР-Медиа, 2015. – 560 с. : ил. </w:t>
                  </w:r>
                </w:p>
                <w:p w:rsidR="0082702C" w:rsidRDefault="0082702C" w:rsidP="0082702C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D119A2" w:rsidRPr="00D119A2" w:rsidRDefault="0032779B" w:rsidP="008270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D119A2"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 компактном виде представлены основные виды диагностических и лечебных манипуляций – как широко используемые в каждодневной практике</w:t>
                  </w:r>
                  <w:r w:rsidR="0082702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D119A2"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(эзофаго -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D119A2" w:rsidRPr="00D119A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гастродуоденоскопия, колоноскопия и др.), так и новые усложненные методики (импедансометрия пищевода и др.) </w:t>
                  </w:r>
                </w:p>
              </w:txbxContent>
            </v:textbox>
          </v:shape>
        </w:pict>
      </w:r>
      <w:r w:rsidR="0082702C" w:rsidRPr="00D119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A3611" wp14:editId="46093072">
            <wp:extent cx="1247610" cy="2005533"/>
            <wp:effectExtent l="19050" t="0" r="0" b="0"/>
            <wp:docPr id="10" name="Рисунок 10" descr="C:\Documents and Settings\Пользователь\Мои документы\справоч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Пользователь\Мои документы\справочни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91" cy="20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A2" w:rsidRDefault="00D119A2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2702C" w:rsidRDefault="0082702C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2702C" w:rsidRDefault="0082702C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D67FC" w:rsidRDefault="00FD67FC" w:rsidP="0032779B">
      <w:pPr>
        <w:spacing w:after="0"/>
        <w:ind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>*</w:t>
      </w:r>
      <w:r w:rsidR="0032779B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В</w:t>
      </w:r>
      <w:r w:rsidRPr="00963158">
        <w:rPr>
          <w:rFonts w:asciiTheme="majorHAnsi" w:hAnsiTheme="majorHAnsi"/>
          <w:sz w:val="20"/>
          <w:szCs w:val="20"/>
        </w:rPr>
        <w:t>ся представлен</w:t>
      </w:r>
      <w:r>
        <w:rPr>
          <w:rFonts w:asciiTheme="majorHAnsi" w:hAnsiTheme="majorHAnsi"/>
          <w:sz w:val="20"/>
          <w:szCs w:val="20"/>
        </w:rPr>
        <w:t xml:space="preserve">ная вашему вниманию </w:t>
      </w:r>
      <w:r w:rsidRPr="00963158">
        <w:rPr>
          <w:rFonts w:asciiTheme="majorHAnsi" w:hAnsiTheme="majorHAnsi"/>
          <w:sz w:val="20"/>
          <w:szCs w:val="20"/>
        </w:rPr>
        <w:t>литература в данном библиографическом обзоре находится на абоне</w:t>
      </w:r>
      <w:r>
        <w:rPr>
          <w:rFonts w:asciiTheme="majorHAnsi" w:hAnsiTheme="majorHAnsi"/>
          <w:sz w:val="20"/>
          <w:szCs w:val="20"/>
        </w:rPr>
        <w:t>менте н</w:t>
      </w:r>
      <w:r w:rsidR="0032779B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научной литературы, в комнате №</w:t>
      </w:r>
      <w:r w:rsidRPr="00963158">
        <w:rPr>
          <w:rFonts w:asciiTheme="majorHAnsi" w:hAnsiTheme="majorHAnsi"/>
          <w:sz w:val="20"/>
          <w:szCs w:val="20"/>
        </w:rPr>
        <w:t>22</w:t>
      </w:r>
      <w:r>
        <w:rPr>
          <w:rFonts w:asciiTheme="majorHAnsi" w:hAnsiTheme="majorHAnsi"/>
          <w:sz w:val="20"/>
          <w:szCs w:val="20"/>
        </w:rPr>
        <w:t>.</w:t>
      </w:r>
    </w:p>
    <w:p w:rsidR="00FD67FC" w:rsidRDefault="00FD67FC" w:rsidP="0032779B">
      <w:pPr>
        <w:spacing w:after="0"/>
        <w:ind w:firstLine="709"/>
        <w:rPr>
          <w:rFonts w:asciiTheme="majorHAnsi" w:hAnsiTheme="majorHAnsi"/>
          <w:sz w:val="20"/>
          <w:szCs w:val="20"/>
        </w:rPr>
      </w:pPr>
    </w:p>
    <w:p w:rsidR="00FD67FC" w:rsidRPr="00537B75" w:rsidRDefault="00FD67FC" w:rsidP="0032779B">
      <w:pPr>
        <w:spacing w:after="0"/>
        <w:ind w:firstLine="709"/>
        <w:jc w:val="center"/>
        <w:rPr>
          <w:rFonts w:asciiTheme="majorHAnsi" w:hAnsiTheme="majorHAnsi"/>
          <w:sz w:val="28"/>
          <w:szCs w:val="28"/>
        </w:rPr>
      </w:pPr>
      <w:r w:rsidRPr="00537B75">
        <w:rPr>
          <w:rFonts w:asciiTheme="majorHAnsi" w:hAnsiTheme="majorHAnsi"/>
          <w:sz w:val="28"/>
          <w:szCs w:val="28"/>
        </w:rPr>
        <w:t>Обзор подготовила ведущий библиотекарь Бордюгова О.В.</w:t>
      </w:r>
    </w:p>
    <w:p w:rsidR="00FD67FC" w:rsidRDefault="00FD67FC" w:rsidP="003277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D5D97" w:rsidRPr="00FD67FC" w:rsidRDefault="00FD67FC" w:rsidP="0082702C">
      <w:pPr>
        <w:tabs>
          <w:tab w:val="left" w:pos="427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67F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D5D97" w:rsidRPr="00FD67FC" w:rsidSect="006C5815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60" w:rsidRDefault="004D6C60" w:rsidP="00D119A2">
      <w:pPr>
        <w:spacing w:after="0" w:line="240" w:lineRule="auto"/>
      </w:pPr>
      <w:r>
        <w:separator/>
      </w:r>
    </w:p>
  </w:endnote>
  <w:endnote w:type="continuationSeparator" w:id="0">
    <w:p w:rsidR="004D6C60" w:rsidRDefault="004D6C60" w:rsidP="00D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60" w:rsidRDefault="004D6C60" w:rsidP="00D119A2">
      <w:pPr>
        <w:spacing w:after="0" w:line="240" w:lineRule="auto"/>
      </w:pPr>
      <w:r>
        <w:separator/>
      </w:r>
    </w:p>
  </w:footnote>
  <w:footnote w:type="continuationSeparator" w:id="0">
    <w:p w:rsidR="004D6C60" w:rsidRDefault="004D6C60" w:rsidP="00D11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315"/>
    <w:rsid w:val="00046607"/>
    <w:rsid w:val="001250AB"/>
    <w:rsid w:val="00244177"/>
    <w:rsid w:val="00255BFA"/>
    <w:rsid w:val="00292584"/>
    <w:rsid w:val="002D4EB8"/>
    <w:rsid w:val="0032779B"/>
    <w:rsid w:val="00463EA2"/>
    <w:rsid w:val="004D6C60"/>
    <w:rsid w:val="00504F63"/>
    <w:rsid w:val="00601D3B"/>
    <w:rsid w:val="006C5815"/>
    <w:rsid w:val="00710DD9"/>
    <w:rsid w:val="0082702C"/>
    <w:rsid w:val="00894862"/>
    <w:rsid w:val="008C4A12"/>
    <w:rsid w:val="008D6979"/>
    <w:rsid w:val="009D5D97"/>
    <w:rsid w:val="00AB04F0"/>
    <w:rsid w:val="00BD1981"/>
    <w:rsid w:val="00C354E4"/>
    <w:rsid w:val="00D119A2"/>
    <w:rsid w:val="00DB3315"/>
    <w:rsid w:val="00E16A3B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D31F0B4-486E-4B30-A7FE-2B7CE98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19A2"/>
  </w:style>
  <w:style w:type="paragraph" w:styleId="a8">
    <w:name w:val="footer"/>
    <w:basedOn w:val="a"/>
    <w:link w:val="a9"/>
    <w:uiPriority w:val="99"/>
    <w:semiHidden/>
    <w:unhideWhenUsed/>
    <w:rsid w:val="00D1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3B1817-8CBC-49FB-A5AC-6E21144A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VGMA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</dc:creator>
  <cp:keywords/>
  <dc:description/>
  <cp:lastModifiedBy>User2</cp:lastModifiedBy>
  <cp:revision>5</cp:revision>
  <dcterms:created xsi:type="dcterms:W3CDTF">2020-05-18T08:17:00Z</dcterms:created>
  <dcterms:modified xsi:type="dcterms:W3CDTF">2020-05-19T09:36:00Z</dcterms:modified>
</cp:coreProperties>
</file>